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5A" w:rsidRDefault="004E525A" w:rsidP="004E525A">
      <w:pPr>
        <w:jc w:val="right"/>
        <w:rPr>
          <w:rStyle w:val="a3"/>
          <w:rFonts w:ascii="Arial" w:hAnsi="Arial" w:cs="Arial"/>
          <w:bCs/>
        </w:rPr>
      </w:pPr>
      <w:bookmarkStart w:id="0" w:name="sub_1600"/>
      <w:r>
        <w:rPr>
          <w:rStyle w:val="a3"/>
          <w:rFonts w:ascii="Arial" w:hAnsi="Arial" w:cs="Arial"/>
          <w:bCs/>
        </w:rPr>
        <w:t>Приложение N 6</w:t>
      </w:r>
      <w:r>
        <w:rPr>
          <w:rStyle w:val="a3"/>
          <w:rFonts w:ascii="Arial" w:hAnsi="Arial" w:cs="Arial"/>
          <w:bCs/>
        </w:rPr>
        <w:br/>
        <w:t xml:space="preserve">к </w:t>
      </w:r>
      <w:hyperlink w:anchor="sub_1000" w:history="1">
        <w:r>
          <w:rPr>
            <w:rStyle w:val="a4"/>
            <w:rFonts w:ascii="Arial" w:hAnsi="Arial" w:cs="Arial"/>
          </w:rPr>
          <w:t>Территориальной программе</w:t>
        </w:r>
      </w:hyperlink>
      <w:r>
        <w:rPr>
          <w:rStyle w:val="a3"/>
          <w:rFonts w:ascii="Arial" w:hAnsi="Arial" w:cs="Arial"/>
          <w:bCs/>
        </w:rPr>
        <w:br/>
        <w:t>государственных гарантий</w:t>
      </w:r>
      <w:r>
        <w:rPr>
          <w:rStyle w:val="a3"/>
          <w:rFonts w:ascii="Arial" w:hAnsi="Arial" w:cs="Arial"/>
          <w:bCs/>
        </w:rPr>
        <w:br/>
        <w:t>бесплатного оказания гражданам</w:t>
      </w:r>
      <w:r>
        <w:rPr>
          <w:rStyle w:val="a3"/>
          <w:rFonts w:ascii="Arial" w:hAnsi="Arial" w:cs="Arial"/>
          <w:bCs/>
        </w:rPr>
        <w:br/>
        <w:t>медицинской помощи</w:t>
      </w:r>
      <w:r>
        <w:rPr>
          <w:rStyle w:val="a3"/>
          <w:rFonts w:ascii="Arial" w:hAnsi="Arial" w:cs="Arial"/>
          <w:bCs/>
        </w:rPr>
        <w:br/>
        <w:t>в Свердловской области на 2024 год</w:t>
      </w:r>
      <w:r>
        <w:rPr>
          <w:rStyle w:val="a3"/>
          <w:rFonts w:ascii="Arial" w:hAnsi="Arial" w:cs="Arial"/>
          <w:bCs/>
        </w:rPr>
        <w:br/>
        <w:t>и на плановый период 2025</w:t>
      </w:r>
      <w:r>
        <w:rPr>
          <w:rStyle w:val="a3"/>
          <w:rFonts w:ascii="Arial" w:hAnsi="Arial" w:cs="Arial"/>
          <w:bCs/>
        </w:rPr>
        <w:br/>
        <w:t>и 2026 годов</w:t>
      </w:r>
    </w:p>
    <w:bookmarkEnd w:id="0"/>
    <w:p w:rsidR="004E525A" w:rsidRDefault="004E525A" w:rsidP="004E525A"/>
    <w:p w:rsidR="004E525A" w:rsidRDefault="004E525A" w:rsidP="004E525A">
      <w:pPr>
        <w:pStyle w:val="1"/>
      </w:pPr>
      <w:r>
        <w:t>Целевые значения</w:t>
      </w:r>
      <w:r>
        <w:br/>
        <w:t>критериев доступности и качества медицинской помощи</w:t>
      </w:r>
    </w:p>
    <w:p w:rsidR="004E525A" w:rsidRDefault="004E525A" w:rsidP="004E525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"/>
        <w:gridCol w:w="3768"/>
        <w:gridCol w:w="1425"/>
        <w:gridCol w:w="1288"/>
        <w:gridCol w:w="1290"/>
        <w:gridCol w:w="1295"/>
      </w:tblGrid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Номер строки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Критерии доступности и качества медицинской помощи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3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Целевое значение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2024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2025 год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2026 год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1.</w:t>
            </w:r>
          </w:p>
        </w:tc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Раздел 1. Критерии качества медицинской помощи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19,5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19,5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19,5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</w:t>
            </w:r>
          </w:p>
          <w:p w:rsidR="004E525A" w:rsidRDefault="004E525A" w:rsidP="00E36F49">
            <w:pPr>
              <w:pStyle w:val="a6"/>
            </w:pPr>
            <w:r>
              <w:t>в течение года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21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со злокачественными </w:t>
            </w:r>
            <w:r>
              <w:lastRenderedPageBreak/>
              <w:t>новообразованиями, взятых под диспансерное наблюдение, в общем количестве пациентов</w:t>
            </w:r>
          </w:p>
          <w:p w:rsidR="004E525A" w:rsidRDefault="004E525A" w:rsidP="00E36F49">
            <w:pPr>
              <w:pStyle w:val="a6"/>
            </w:pPr>
            <w:r>
              <w:t>со злокачественными новообразованиями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93,5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 с инфарктом миокарда, госпитализированных</w:t>
            </w:r>
          </w:p>
          <w:p w:rsidR="004E525A" w:rsidRDefault="004E525A" w:rsidP="00E36F49">
            <w:pPr>
              <w:pStyle w:val="a6"/>
            </w:pPr>
            <w:r>
              <w:t>в первые 12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 острым инфарктом миокарда, которым проведено </w:t>
            </w:r>
            <w:proofErr w:type="spellStart"/>
            <w:r>
              <w:t>стентирование</w:t>
            </w:r>
            <w:proofErr w:type="spellEnd"/>
            <w:r>
              <w:t xml:space="preserve"> коронарных артерий, в общем количестве пациентов с острым инфарктом миокарда, имеющих показания к его проведению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50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 острым и повторным инфарктом миокарда, которым выездной бригадой скорой медицинской помощи проведен </w:t>
            </w:r>
            <w:proofErr w:type="spellStart"/>
            <w:r>
              <w:t>тромболизис</w:t>
            </w:r>
            <w:proofErr w:type="spellEnd"/>
            <w:r>
              <w:t>, в общем количестве пациентов</w:t>
            </w:r>
          </w:p>
          <w:p w:rsidR="004E525A" w:rsidRDefault="004E525A" w:rsidP="00E36F49">
            <w:pPr>
              <w:pStyle w:val="a6"/>
            </w:pPr>
            <w:r>
              <w:t>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17,5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17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 острым инфарктом миокарда, которым проведена </w:t>
            </w:r>
            <w:proofErr w:type="spellStart"/>
            <w:r>
              <w:t>тромболитическая</w:t>
            </w:r>
            <w:proofErr w:type="spellEnd"/>
            <w:r>
              <w:t xml:space="preserve"> терапия, в общем количестве пациентов с острым инфарктом миокарда, имеющих показания</w:t>
            </w:r>
          </w:p>
          <w:p w:rsidR="004E525A" w:rsidRDefault="004E525A" w:rsidP="00E36F49">
            <w:pPr>
              <w:pStyle w:val="a6"/>
            </w:pPr>
            <w:r>
              <w:t>к ее проведению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33,5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34,5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 острым ишемическим инсультом, которым проведена </w:t>
            </w:r>
            <w:proofErr w:type="spellStart"/>
            <w:r>
              <w:t>тромболитическая</w:t>
            </w:r>
            <w:proofErr w:type="spellEnd"/>
            <w:r>
              <w:t xml:space="preserve"> терапия, в общем количестве пациентов с </w:t>
            </w:r>
            <w:r>
              <w:lastRenderedPageBreak/>
              <w:t>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11,8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12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 с острым ишемическим инсультом, которым проведена </w:t>
            </w:r>
            <w:proofErr w:type="spellStart"/>
            <w:r>
              <w:t>тромболитическая</w:t>
            </w:r>
            <w:proofErr w:type="spellEnd"/>
            <w: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7,0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пациентов, получающих обезболивание в рамках оказания паллиативной медицинской помощи, в общем количестве пациентов, нуждающихся</w:t>
            </w:r>
          </w:p>
          <w:p w:rsidR="004E525A" w:rsidRDefault="004E525A" w:rsidP="00E36F49">
            <w:pPr>
              <w:pStyle w:val="a6"/>
            </w:pPr>
            <w:r>
              <w:t>в обезболивании при оказании паллиативной медицинской помощи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пациентов, обследованных перед проведением вспомогательных репродуктивных технологий (ВРТ) в соответствии с критериями качества проведения программ ВРТ клинических рекомендаций "Женское бесплодие"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Число циклов ЭКО, выполняемых медицинской организацией, в течение одного года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абсолютное количество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100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женщин, у которых беременность после применения процедуры ЭКО (циклов с переносом эмбрионов) завершилась родами, в общем числе женщин, которым были проведены процедуры ЭКО (циклы с переносом эмбрионов)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26,5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27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18.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Количество случаев госпитализации с диагнозом "Бронхиальная астма"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100 тыс. человек</w:t>
            </w:r>
          </w:p>
          <w:p w:rsidR="004E525A" w:rsidRDefault="004E525A" w:rsidP="00E36F49">
            <w:pPr>
              <w:pStyle w:val="a5"/>
              <w:jc w:val="center"/>
            </w:pPr>
            <w:r>
              <w:t>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120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118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118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19.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Количество случаев госпитализации с диагнозом "Хроническая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легких"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100 тыс. человек</w:t>
            </w:r>
          </w:p>
          <w:p w:rsidR="004E525A" w:rsidRDefault="004E525A" w:rsidP="00E36F49">
            <w:pPr>
              <w:pStyle w:val="a5"/>
              <w:jc w:val="center"/>
            </w:pPr>
            <w:r>
              <w:t>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150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153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153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Количество случаев </w:t>
            </w:r>
            <w:r>
              <w:lastRenderedPageBreak/>
              <w:t>госпитализации с диагнозом "Хроническая сердечная недостаточность"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 xml:space="preserve">на 100 тыс. </w:t>
            </w:r>
            <w:r>
              <w:lastRenderedPageBreak/>
              <w:t>человек</w:t>
            </w:r>
          </w:p>
          <w:p w:rsidR="004E525A" w:rsidRDefault="004E525A" w:rsidP="00E36F49">
            <w:pPr>
              <w:pStyle w:val="a5"/>
              <w:jc w:val="center"/>
            </w:pPr>
            <w:r>
              <w:t>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>105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105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21.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Количество случаев госпитализации с диагнозом "Гипертоническая болезнь"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100 тыс. человек</w:t>
            </w:r>
          </w:p>
          <w:p w:rsidR="004E525A" w:rsidRDefault="004E525A" w:rsidP="00E36F49">
            <w:pPr>
              <w:pStyle w:val="a5"/>
              <w:jc w:val="center"/>
            </w:pPr>
            <w:r>
              <w:t>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215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210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205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22.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Количество случаев госпитализации с диагнозом "Сахарный диабет"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100 тыс. человек</w:t>
            </w:r>
          </w:p>
          <w:p w:rsidR="004E525A" w:rsidRDefault="004E525A" w:rsidP="00E36F49">
            <w:pPr>
              <w:pStyle w:val="a5"/>
              <w:jc w:val="center"/>
            </w:pPr>
            <w:r>
              <w:t>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290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330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23.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пациентов, прооперированных в течение</w:t>
            </w:r>
          </w:p>
          <w:p w:rsidR="004E525A" w:rsidRDefault="004E525A" w:rsidP="00E36F49">
            <w:pPr>
              <w:pStyle w:val="a6"/>
            </w:pPr>
            <w:r>
              <w:t>2 дней после поступления в стационар по поводу перелома шейки бедра, от общего количества прооперированных по поводу указанного заболевания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75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80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85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24.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Количество пациентов с гепатитом С, получивших противовирусную терапию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на 100 тыс. человек в год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27,0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28,0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29,0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Количество обоснованных жалоб, в том числе на несоблюдение сроков ожидания оказания и отказ в оказании медицинской помощи, предоставляемой в рамках Территориальной программы государственных гарантий бесплатного оказания гражданам медицинской помощи в Свердловской области</w:t>
            </w:r>
          </w:p>
          <w:p w:rsidR="004E525A" w:rsidRDefault="004E525A" w:rsidP="00E36F49">
            <w:pPr>
              <w:pStyle w:val="a6"/>
            </w:pPr>
            <w:r>
              <w:t>на 2024 год и на плановый период 2025 и 2026 годов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абсолютное количество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более 450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более 450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более 450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26.</w:t>
            </w:r>
          </w:p>
        </w:tc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Раздел 2. Критерии доступности медицинской помощи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Удовлетворенность населения доступностью медицинской помощи, всего</w:t>
            </w:r>
          </w:p>
          <w:p w:rsidR="004E525A" w:rsidRDefault="004E525A" w:rsidP="00E36F49">
            <w:pPr>
              <w:pStyle w:val="a6"/>
            </w:pPr>
            <w:r>
              <w:t>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 от числа опрошенных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городского населения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29.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сельского населения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не менее 85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30.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расходов на оказание медицинской помощи в условиях дневных стационаров в общих расходах на территориальную программу ОМС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расходов на оказание медицинской помощи в амбулаторных условиях в неотложной форме в общих расходах на территориальную программу ОМС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пациентов, получивших </w:t>
            </w:r>
            <w:r>
              <w:lastRenderedPageBreak/>
              <w:t>специализированную медицинскую помощь в стационарных условиях</w:t>
            </w:r>
          </w:p>
          <w:p w:rsidR="004E525A" w:rsidRDefault="004E525A" w:rsidP="00E36F49">
            <w:pPr>
              <w:pStyle w:val="a6"/>
            </w:pPr>
            <w:r>
              <w:t>в медицинских организациях, подведомственных федеральным органам государственной власти,</w:t>
            </w:r>
          </w:p>
          <w:p w:rsidR="004E525A" w:rsidRDefault="004E525A" w:rsidP="00E36F49">
            <w:pPr>
              <w:pStyle w:val="a6"/>
            </w:pPr>
            <w:r>
              <w:t>в общем числе пациентов, которым была оказана специализированная медицинская помощь в стационарных условиях в рамках территориальной программы ОМС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0,05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0,05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0,05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95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абсолютное количество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Число пациентов, зарегистрированных на территории Свердловской области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абсолютное количество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10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70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 xml:space="preserve">Доля пациентов, находящихся в стационарных организациях социального обслуживания и страдающих хроническими неинфекционными </w:t>
            </w:r>
            <w:r>
              <w:lastRenderedPageBreak/>
              <w:t>заболеваниями, получивших медицинскую помощь в рамках диспансерного наблюдения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63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39.</w:t>
            </w:r>
          </w:p>
        </w:tc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Раздел 3. Критерии оценки эффективности деятельности медицинских организаций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40.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Выполнение функции врачебной должности, всего</w:t>
            </w:r>
          </w:p>
          <w:p w:rsidR="004E525A" w:rsidRDefault="004E525A" w:rsidP="00E36F49">
            <w:pPr>
              <w:pStyle w:val="a6"/>
            </w:pPr>
            <w:r>
              <w:t>в том числе в медицинских организациях: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число амбулаторных посещений в год на одну занятую должность</w:t>
            </w:r>
          </w:p>
          <w:p w:rsidR="004E525A" w:rsidRDefault="004E525A" w:rsidP="00E36F49">
            <w:pPr>
              <w:pStyle w:val="a6"/>
            </w:pPr>
            <w:r>
              <w:t>(без учета среднего медицинского</w:t>
            </w:r>
          </w:p>
          <w:p w:rsidR="004E525A" w:rsidRDefault="004E525A" w:rsidP="00E36F49">
            <w:pPr>
              <w:pStyle w:val="a6"/>
            </w:pPr>
            <w:r>
              <w:t>персонала,</w:t>
            </w:r>
          </w:p>
          <w:p w:rsidR="004E525A" w:rsidRDefault="004E525A" w:rsidP="00E36F49">
            <w:pPr>
              <w:pStyle w:val="a6"/>
            </w:pPr>
            <w:r>
              <w:t>занимающего</w:t>
            </w:r>
          </w:p>
          <w:p w:rsidR="004E525A" w:rsidRDefault="004E525A" w:rsidP="00E36F49">
            <w:pPr>
              <w:pStyle w:val="a6"/>
            </w:pPr>
            <w:r>
              <w:t>врачебные должности)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3200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расположенных в городской местности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3250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расположенных в сельской местности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2500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2500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Среднегодовая занятость койки, всего в том числе: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дней в году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315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в городской местности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320</w:t>
            </w:r>
          </w:p>
        </w:tc>
      </w:tr>
      <w:tr w:rsidR="004E525A" w:rsidTr="00E36F49">
        <w:tblPrEx>
          <w:tblCellMar>
            <w:top w:w="0" w:type="dxa"/>
            <w:bottom w:w="0" w:type="dxa"/>
          </w:tblCellMar>
        </w:tblPrEx>
        <w:tc>
          <w:tcPr>
            <w:tcW w:w="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45.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6"/>
            </w:pPr>
            <w:r>
              <w:t>в сельской местности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280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290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25A" w:rsidRDefault="004E525A" w:rsidP="00E36F49">
            <w:pPr>
              <w:pStyle w:val="a5"/>
              <w:jc w:val="center"/>
            </w:pPr>
            <w:r>
              <w:t>290</w:t>
            </w:r>
          </w:p>
        </w:tc>
      </w:tr>
    </w:tbl>
    <w:p w:rsidR="00381074" w:rsidRDefault="00381074">
      <w:bookmarkStart w:id="1" w:name="_GoBack"/>
      <w:bookmarkEnd w:id="1"/>
    </w:p>
    <w:sectPr w:rsidR="00381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9C"/>
    <w:rsid w:val="0033599C"/>
    <w:rsid w:val="00381074"/>
    <w:rsid w:val="004E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19C39-3DFF-42F9-A736-ECF50DAA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2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52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525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E525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E525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E525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E525A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1267</Words>
  <Characters>7222</Characters>
  <Application>Microsoft Office Word</Application>
  <DocSecurity>0</DocSecurity>
  <Lines>60</Lines>
  <Paragraphs>16</Paragraphs>
  <ScaleCrop>false</ScaleCrop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Кренц Ольга Валерьевна</dc:creator>
  <cp:keywords/>
  <dc:description/>
  <cp:lastModifiedBy>Кренц Ольга Валерьевна</cp:lastModifiedBy>
  <cp:revision>2</cp:revision>
  <dcterms:created xsi:type="dcterms:W3CDTF">2024-03-05T03:40:00Z</dcterms:created>
  <dcterms:modified xsi:type="dcterms:W3CDTF">2024-03-05T03:42:00Z</dcterms:modified>
</cp:coreProperties>
</file>